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left="6480" w:firstLine="720"/>
        <w:rPr>
          <w:rFonts w:ascii="Arial" w:hAnsi="Arial"/>
          <w:sz w:val="24"/>
          <w:szCs w:val="24"/>
        </w:rPr>
      </w:pPr>
      <w:r>
        <w:rPr>
          <w:rFonts w:ascii="Arial" w:hAnsi="Arial"/>
          <w:sz w:val="24"/>
          <w:szCs w:val="24"/>
        </w:rPr>
        <w:drawing xmlns:a="http://schemas.openxmlformats.org/drawingml/2006/main">
          <wp:anchor distT="152400" distB="152400" distL="152400" distR="152400" simplePos="0" relativeHeight="251659264" behindDoc="0" locked="0" layoutInCell="1" allowOverlap="1">
            <wp:simplePos x="0" y="0"/>
            <wp:positionH relativeFrom="page">
              <wp:posOffset>914400</wp:posOffset>
            </wp:positionH>
            <wp:positionV relativeFrom="page">
              <wp:posOffset>982980</wp:posOffset>
            </wp:positionV>
            <wp:extent cx="914400" cy="914400"/>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914400" cy="914400"/>
                    </a:xfrm>
                    <a:prstGeom prst="rect">
                      <a:avLst/>
                    </a:prstGeom>
                    <a:ln w="12700" cap="flat">
                      <a:noFill/>
                      <a:miter lim="400000"/>
                    </a:ln>
                    <a:effectLst/>
                  </pic:spPr>
                </pic:pic>
              </a:graphicData>
            </a:graphic>
          </wp:anchor>
        </w:drawing>
      </w:r>
      <w:r>
        <w:rPr>
          <w:rFonts w:ascii="Arial" w:hAnsi="Arial"/>
          <w:sz w:val="24"/>
          <w:szCs w:val="24"/>
          <w14:textOutline w14:w="12700" w14:cap="flat">
            <w14:noFill/>
            <w14:miter w14:lim="400000"/>
          </w14:textOutline>
        </w:rPr>
        <w:drawing xmlns:a="http://schemas.openxmlformats.org/drawingml/2006/main">
          <wp:inline distT="0" distB="0" distL="0" distR="0">
            <wp:extent cx="944880" cy="937260"/>
            <wp:effectExtent l="0" t="0" r="0" b="0"/>
            <wp:docPr id="1073741826" name="officeArt object" descr="A black circle with blue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black circle with blue and white textAI-generated content may be incorrect." descr="A black circle with blue and white textAI-generated content may be incorrect."/>
                    <pic:cNvPicPr>
                      <a:picLocks noChangeAspect="1"/>
                    </pic:cNvPicPr>
                  </pic:nvPicPr>
                  <pic:blipFill>
                    <a:blip r:embed="rId5">
                      <a:extLst/>
                    </a:blip>
                    <a:stretch>
                      <a:fillRect/>
                    </a:stretch>
                  </pic:blipFill>
                  <pic:spPr>
                    <a:xfrm>
                      <a:off x="0" y="0"/>
                      <a:ext cx="944880" cy="937260"/>
                    </a:xfrm>
                    <a:prstGeom prst="rect">
                      <a:avLst/>
                    </a:prstGeom>
                    <a:ln w="12700" cap="flat">
                      <a:noFill/>
                      <a:miter lim="400000"/>
                    </a:ln>
                    <a:effectLst/>
                  </pic:spPr>
                </pic:pic>
              </a:graphicData>
            </a:graphic>
          </wp:inline>
        </w:drawing>
      </w:r>
      <w:r>
        <w:rPr>
          <w:rFonts w:ascii="Arial" w:hAnsi="Arial"/>
          <w:sz w:val="24"/>
          <w:szCs w:val="24"/>
        </w:rPr>
        <w:tab/>
        <w:tab/>
        <w:tab/>
        <w:tab/>
      </w:r>
    </w:p>
    <w:p>
      <w:pPr>
        <w:pStyle w:val="Body A"/>
        <w:rPr>
          <w:rFonts w:ascii="Arial" w:hAnsi="Arial"/>
          <w:sz w:val="24"/>
          <w:szCs w:val="24"/>
        </w:rPr>
      </w:pPr>
    </w:p>
    <w:p>
      <w:pPr>
        <w:pStyle w:val="Body A"/>
        <w:rPr>
          <w:rFonts w:ascii="Arial" w:hAnsi="Arial"/>
          <w:sz w:val="24"/>
          <w:szCs w:val="24"/>
        </w:rPr>
      </w:pPr>
    </w:p>
    <w:p>
      <w:pPr>
        <w:pStyle w:val="Body A"/>
        <w:rPr>
          <w:rFonts w:ascii="Arial" w:hAnsi="Arial"/>
          <w:sz w:val="24"/>
          <w:szCs w:val="24"/>
        </w:rPr>
      </w:pPr>
    </w:p>
    <w:p>
      <w:pPr>
        <w:pStyle w:val="Body A"/>
        <w:rPr>
          <w:rFonts w:ascii="Arial" w:cs="Arial" w:hAnsi="Arial" w:eastAsia="Arial"/>
          <w:sz w:val="24"/>
          <w:szCs w:val="24"/>
        </w:rPr>
      </w:pPr>
      <w:r>
        <w:rPr>
          <w:rFonts w:ascii="Arial" w:hAnsi="Arial"/>
          <w:sz w:val="24"/>
          <w:szCs w:val="24"/>
          <w:rtl w:val="0"/>
          <w:lang w:val="en-US"/>
        </w:rPr>
        <w:t xml:space="preserve">Office of the Scottish Charity Regulator (OSCR)  </w:t>
      </w:r>
    </w:p>
    <w:p>
      <w:pPr>
        <w:pStyle w:val="Body A"/>
        <w:rPr>
          <w:rFonts w:ascii="Arial" w:cs="Arial" w:hAnsi="Arial" w:eastAsia="Arial"/>
          <w:sz w:val="24"/>
          <w:szCs w:val="24"/>
        </w:rPr>
      </w:pPr>
      <w:r>
        <w:rPr>
          <w:rFonts w:ascii="Arial" w:hAnsi="Arial"/>
          <w:sz w:val="24"/>
          <w:szCs w:val="24"/>
          <w:rtl w:val="0"/>
          <w:lang w:val="en-US"/>
        </w:rPr>
        <w:t xml:space="preserve">2nd Floor, Quadrant House  </w:t>
      </w:r>
    </w:p>
    <w:p>
      <w:pPr>
        <w:pStyle w:val="Body A"/>
        <w:rPr>
          <w:rFonts w:ascii="Arial" w:cs="Arial" w:hAnsi="Arial" w:eastAsia="Arial"/>
          <w:sz w:val="24"/>
          <w:szCs w:val="24"/>
        </w:rPr>
      </w:pPr>
      <w:r>
        <w:rPr>
          <w:rFonts w:ascii="Arial" w:hAnsi="Arial"/>
          <w:sz w:val="24"/>
          <w:szCs w:val="24"/>
          <w:rtl w:val="0"/>
          <w:lang w:val="en-US"/>
        </w:rPr>
        <w:t xml:space="preserve">9 Riverside Drive  </w:t>
      </w:r>
    </w:p>
    <w:p>
      <w:pPr>
        <w:pStyle w:val="Body A"/>
        <w:rPr>
          <w:rFonts w:ascii="Arial" w:cs="Arial" w:hAnsi="Arial" w:eastAsia="Arial"/>
          <w:sz w:val="24"/>
          <w:szCs w:val="24"/>
        </w:rPr>
      </w:pPr>
      <w:r>
        <w:rPr>
          <w:rFonts w:ascii="Arial" w:hAnsi="Arial"/>
          <w:sz w:val="24"/>
          <w:szCs w:val="24"/>
          <w:rtl w:val="0"/>
          <w:lang w:val="en-US"/>
        </w:rPr>
        <w:t xml:space="preserve">Dundee DD1 4NY  </w:t>
      </w:r>
    </w:p>
    <w:p>
      <w:pPr>
        <w:pStyle w:val="Body A"/>
        <w:rPr>
          <w:rFonts w:ascii="Arial" w:cs="Arial" w:hAnsi="Arial" w:eastAsia="Arial"/>
          <w:sz w:val="24"/>
          <w:szCs w:val="24"/>
        </w:rPr>
      </w:pPr>
      <w:r>
        <w:rPr>
          <w:rFonts w:ascii="Arial" w:hAnsi="Arial"/>
          <w:sz w:val="24"/>
          <w:szCs w:val="24"/>
          <w:rtl w:val="0"/>
          <w:lang w:val="en-US"/>
        </w:rPr>
        <w:t>19th May 2024</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Dear Sir/Madam,  </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Concerns Regarding Charitable Activities Promoting Gender Ideology in Scottish Schools*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We are writing on behalf of ScotPAG and Women</w:t>
      </w:r>
      <w:r>
        <w:rPr>
          <w:rFonts w:ascii="Arial" w:hAnsi="Arial" w:hint="default"/>
          <w:sz w:val="24"/>
          <w:szCs w:val="24"/>
          <w:rtl w:val="0"/>
          <w:lang w:val="en-US"/>
        </w:rPr>
        <w:t>’</w:t>
      </w:r>
      <w:r>
        <w:rPr>
          <w:rFonts w:ascii="Arial" w:hAnsi="Arial"/>
          <w:sz w:val="24"/>
          <w:szCs w:val="24"/>
          <w:rtl w:val="0"/>
          <w:lang w:val="en-US"/>
        </w:rPr>
        <w:t xml:space="preserve">s Rights Network Scotland to express serious concerns about the activities of certain charities registered with OSCR, specifically those such as LGBT Youth Scotland and Time for Inclusive Education (TIE), which have embedded and </w:t>
      </w:r>
      <w:r>
        <w:rPr>
          <w:rFonts w:ascii="Arial" w:hAnsi="Arial"/>
          <w:sz w:val="24"/>
          <w:szCs w:val="24"/>
          <w:rtl w:val="0"/>
          <w:lang w:val="es-ES_tradnl"/>
        </w:rPr>
        <w:t>promote</w:t>
      </w:r>
      <w:r>
        <w:rPr>
          <w:rFonts w:ascii="Arial" w:hAnsi="Arial"/>
          <w:sz w:val="24"/>
          <w:szCs w:val="24"/>
          <w:rtl w:val="0"/>
          <w:lang w:val="en-US"/>
        </w:rPr>
        <w:t xml:space="preserve">d gender ideology in Scottish schools. You will have noted that we have written to you previously stating our concerns.  In light of the recent Supreme Court clarification of the law, these activities are likely to be unlawful and incompatible with the public benefit requirement for charitable status under the Charities and Trustee Investment (Scotland) Act 2005. We respectfully request that OSCR investigate these matters to ensure compliance with Scottish charity law.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The Supreme Court</w:t>
      </w:r>
      <w:r>
        <w:rPr>
          <w:rFonts w:ascii="Arial" w:hAnsi="Arial" w:hint="default"/>
          <w:sz w:val="24"/>
          <w:szCs w:val="24"/>
          <w:rtl w:val="1"/>
          <w:lang w:val="ar-SA" w:bidi="ar-SA"/>
        </w:rPr>
        <w:t>’</w:t>
      </w:r>
      <w:r>
        <w:rPr>
          <w:rFonts w:ascii="Arial" w:hAnsi="Arial"/>
          <w:sz w:val="24"/>
          <w:szCs w:val="24"/>
          <w:rtl w:val="0"/>
          <w:lang w:val="en-US"/>
        </w:rPr>
        <w:t xml:space="preserve">s recent ruling (For Women Scotland v the Scottish Government 2025) (has established that certain approaches related to gender ideology, particularly those involving the promotion of contested and unscientific claims, are unlawful in specific contexts, such as all public services including educational environments. The ruling underscores that such activities may breach legal standards, including those related to safeguarding, parental rights, and the provision of fact-based education.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Charities such as LGBT Youth Scotland and TIE have been active in delivering materials, training, and advocacy in Scottish schools that promote concepts such as self-identified gender, non-binary identities, and related ideological frameworks. These initiatives often present such concepts as settled fact, despite their lack of scientific consensus and the potential for significant harm, particularly to young and vulnerable children. The Supreme Court</w:t>
      </w:r>
      <w:r>
        <w:rPr>
          <w:rFonts w:ascii="Arial" w:hAnsi="Arial" w:hint="default"/>
          <w:sz w:val="24"/>
          <w:szCs w:val="24"/>
          <w:rtl w:val="1"/>
          <w:lang w:val="ar-SA" w:bidi="ar-SA"/>
        </w:rPr>
        <w:t>’</w:t>
      </w:r>
      <w:r>
        <w:rPr>
          <w:rFonts w:ascii="Arial" w:hAnsi="Arial"/>
          <w:sz w:val="24"/>
          <w:szCs w:val="24"/>
          <w:rtl w:val="0"/>
          <w:lang w:val="en-US"/>
        </w:rPr>
        <w:t xml:space="preserve">s clarification suggests that these activities may now fall outside the scope of lawful charitable purposes, as they could undermine public benefit by promoting misleading or harmful information.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As the regulator of Scotland</w:t>
      </w:r>
      <w:r>
        <w:rPr>
          <w:rFonts w:ascii="Arial" w:hAnsi="Arial" w:hint="default"/>
          <w:sz w:val="24"/>
          <w:szCs w:val="24"/>
          <w:rtl w:val="1"/>
          <w:lang w:val="ar-SA" w:bidi="ar-SA"/>
        </w:rPr>
        <w:t>’</w:t>
      </w:r>
      <w:r>
        <w:rPr>
          <w:rFonts w:ascii="Arial" w:hAnsi="Arial"/>
          <w:sz w:val="24"/>
          <w:szCs w:val="24"/>
          <w:rtl w:val="0"/>
          <w:lang w:val="en-US"/>
        </w:rPr>
        <w:t xml:space="preserve">s charity sector, OSCR has a duty to ensure that registered charities operate within the law and deliver genuine public benefit. We are concerned that the continued promotion of gender ideology by these charities in schools may:  </w:t>
      </w:r>
    </w:p>
    <w:p>
      <w:pPr>
        <w:pStyle w:val="Body A"/>
        <w:rPr>
          <w:rFonts w:ascii="Arial" w:cs="Arial" w:hAnsi="Arial" w:eastAsia="Arial"/>
          <w:sz w:val="24"/>
          <w:szCs w:val="24"/>
        </w:rPr>
      </w:pPr>
      <w:r>
        <w:rPr>
          <w:rFonts w:ascii="Arial" w:hAnsi="Arial"/>
          <w:sz w:val="24"/>
          <w:szCs w:val="24"/>
          <w:rtl w:val="0"/>
          <w:lang w:val="en-US"/>
        </w:rPr>
        <w:t xml:space="preserve">1. Breach legal standards clarified by the Supreme Court, particularly in relation to educational settings.  </w:t>
      </w:r>
    </w:p>
    <w:p>
      <w:pPr>
        <w:pStyle w:val="Body A"/>
        <w:rPr>
          <w:rFonts w:ascii="Arial" w:cs="Arial" w:hAnsi="Arial" w:eastAsia="Arial"/>
          <w:sz w:val="24"/>
          <w:szCs w:val="24"/>
        </w:rPr>
      </w:pPr>
      <w:r>
        <w:rPr>
          <w:rFonts w:ascii="Arial" w:hAnsi="Arial"/>
          <w:sz w:val="24"/>
          <w:szCs w:val="24"/>
          <w:rtl w:val="0"/>
          <w:lang w:val="en-US"/>
        </w:rPr>
        <w:t xml:space="preserve">2. Fail to meet the public benefit test, as their activities may cause harm by encouraging ideological conformity over evidence-based practice.  </w:t>
      </w:r>
    </w:p>
    <w:p>
      <w:pPr>
        <w:pStyle w:val="Body A"/>
        <w:rPr>
          <w:rFonts w:ascii="Arial" w:cs="Arial" w:hAnsi="Arial" w:eastAsia="Arial"/>
          <w:sz w:val="24"/>
          <w:szCs w:val="24"/>
        </w:rPr>
      </w:pPr>
      <w:r>
        <w:rPr>
          <w:rFonts w:ascii="Arial" w:hAnsi="Arial"/>
          <w:sz w:val="24"/>
          <w:szCs w:val="24"/>
          <w:rtl w:val="0"/>
          <w:lang w:val="en-US"/>
        </w:rPr>
        <w:t xml:space="preserve">3. Undermine public trust in the charity sector by advancing contested beliefs under the guise of charitable work.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We urge OSCR to undertake the following actions:  </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Investigate the activities of charities such as LGBT Youth Scotland and TIE to determine whether their promotion of gender ideology in schools aligns with the recent Supreme Court ruling and with Scottish charity law.  </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Review whether these charities</w:t>
      </w:r>
      <w:r>
        <w:rPr>
          <w:rFonts w:ascii="Arial" w:hAnsi="Arial" w:hint="default"/>
          <w:sz w:val="24"/>
          <w:szCs w:val="24"/>
          <w:rtl w:val="1"/>
          <w:lang w:val="ar-SA" w:bidi="ar-SA"/>
        </w:rPr>
        <w:t xml:space="preserve">’ </w:t>
      </w:r>
      <w:r>
        <w:rPr>
          <w:rFonts w:ascii="Arial" w:hAnsi="Arial"/>
          <w:sz w:val="24"/>
          <w:szCs w:val="24"/>
          <w:rtl w:val="0"/>
          <w:lang w:val="en-US"/>
        </w:rPr>
        <w:t xml:space="preserve">activities continue to meet the public benefit requirement under the 2005 Act.  </w:t>
      </w:r>
    </w:p>
    <w:p>
      <w:pPr>
        <w:pStyle w:val="Body A"/>
        <w:rPr>
          <w:rFonts w:ascii="Arial" w:cs="Arial" w:hAnsi="Arial" w:eastAsia="Arial"/>
          <w:sz w:val="24"/>
          <w:szCs w:val="24"/>
        </w:rPr>
      </w:pPr>
      <w:r>
        <w:rPr>
          <w:rFonts w:ascii="Arial" w:hAnsi="Arial" w:hint="default"/>
          <w:sz w:val="24"/>
          <w:szCs w:val="24"/>
          <w:rtl w:val="0"/>
          <w:lang w:val="en-US"/>
        </w:rPr>
        <w:t xml:space="preserve">•  </w:t>
      </w:r>
      <w:r>
        <w:rPr>
          <w:rFonts w:ascii="Arial" w:hAnsi="Arial"/>
          <w:sz w:val="24"/>
          <w:szCs w:val="24"/>
          <w:rtl w:val="0"/>
          <w:lang w:val="en-US"/>
        </w:rPr>
        <w:t xml:space="preserve">If necessary, take appropriate regulatory action, including guidance, sanctions, or, in extreme cases, removal of charitable status, to ensure compliance with the law.  </w:t>
      </w:r>
    </w:p>
    <w:p>
      <w:pPr>
        <w:pStyle w:val="Body A"/>
        <w:rPr>
          <w:rFonts w:ascii="Arial" w:cs="Arial" w:hAnsi="Arial" w:eastAsia="Arial"/>
          <w:sz w:val="24"/>
          <w:szCs w:val="24"/>
        </w:rPr>
      </w:pPr>
      <w:r>
        <w:rPr>
          <w:rFonts w:ascii="Arial" w:hAnsi="Arial"/>
          <w:sz w:val="24"/>
          <w:szCs w:val="24"/>
          <w:rtl w:val="0"/>
          <w:lang w:val="en-US"/>
        </w:rPr>
        <w:t>We appreciate that OSCR must balance its regulatory role with the need to support legitimate charitable activities. However, the Supreme Court</w:t>
      </w:r>
      <w:r>
        <w:rPr>
          <w:rFonts w:ascii="Arial" w:hAnsi="Arial" w:hint="default"/>
          <w:sz w:val="24"/>
          <w:szCs w:val="24"/>
          <w:rtl w:val="1"/>
          <w:lang w:val="ar-SA" w:bidi="ar-SA"/>
        </w:rPr>
        <w:t>’</w:t>
      </w:r>
      <w:r>
        <w:rPr>
          <w:rFonts w:ascii="Arial" w:hAnsi="Arial"/>
          <w:sz w:val="24"/>
          <w:szCs w:val="24"/>
          <w:rtl w:val="0"/>
          <w:lang w:val="en-US"/>
        </w:rPr>
        <w:t xml:space="preserve">s clarification marks a significant development that warrants scrutiny of charities operating, particularly where the safeguarding of children is concerned. We trust that OSCR will approach this matter with the seriousness it deserves, given the potential impact on children, families, and public confidence in the charity sector.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Please confirm receipt of this letter and outline the steps OSCR will take to address these concerns. We would also be grateful for any updates on the progress of any investigation, subject to OSCR</w:t>
      </w:r>
      <w:r>
        <w:rPr>
          <w:rFonts w:ascii="Arial" w:hAnsi="Arial" w:hint="default"/>
          <w:sz w:val="24"/>
          <w:szCs w:val="24"/>
          <w:rtl w:val="1"/>
          <w:lang w:val="ar-SA" w:bidi="ar-SA"/>
        </w:rPr>
        <w:t>’</w:t>
      </w:r>
      <w:r>
        <w:rPr>
          <w:rFonts w:ascii="Arial" w:hAnsi="Arial"/>
          <w:sz w:val="24"/>
          <w:szCs w:val="24"/>
          <w:rtl w:val="0"/>
          <w:lang w:val="en-US"/>
        </w:rPr>
        <w:t xml:space="preserve">s confidentiality policies.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Thank you for your attention to this matter. I look forward to your response.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Yours sincerely,  </w:t>
      </w:r>
    </w:p>
    <w:p>
      <w:pPr>
        <w:pStyle w:val="Body A"/>
        <w:rPr>
          <w:rFonts w:ascii="Arial" w:cs="Arial" w:hAnsi="Arial" w:eastAsia="Arial"/>
          <w:sz w:val="24"/>
          <w:szCs w:val="24"/>
        </w:rPr>
      </w:pPr>
    </w:p>
    <w:p>
      <w:pPr>
        <w:pStyle w:val="Body A"/>
        <w:rPr>
          <w:rStyle w:val="None"/>
          <w:rFonts w:ascii="Arial" w:cs="Arial" w:hAnsi="Arial" w:eastAsia="Arial"/>
          <w:sz w:val="24"/>
          <w:szCs w:val="24"/>
        </w:rPr>
      </w:pPr>
      <w:r>
        <w:rPr>
          <w:rFonts w:ascii="Arial" w:hAnsi="Arial"/>
          <w:sz w:val="24"/>
          <w:szCs w:val="24"/>
          <w:rtl w:val="0"/>
          <w:lang w:val="en-US"/>
        </w:rPr>
        <w:t xml:space="preserve">Carolyn Brown Convenor of ScotPAG         </w:t>
      </w:r>
      <w:r>
        <w:rPr>
          <w:rStyle w:val="Hyperlink.0"/>
        </w:rPr>
        <w:fldChar w:fldCharType="begin" w:fldLock="0"/>
      </w:r>
      <w:r>
        <w:rPr>
          <w:rStyle w:val="Hyperlink.0"/>
        </w:rPr>
        <w:instrText xml:space="preserve"> HYPERLINK "http://scotpag.com"</w:instrText>
      </w:r>
      <w:r>
        <w:rPr>
          <w:rStyle w:val="Hyperlink.0"/>
        </w:rPr>
        <w:fldChar w:fldCharType="separate" w:fldLock="0"/>
      </w:r>
      <w:r>
        <w:rPr>
          <w:rStyle w:val="Hyperlink.0"/>
          <w:rtl w:val="0"/>
        </w:rPr>
        <w:t>scotpag.com</w:t>
      </w:r>
      <w:r>
        <w:rPr/>
        <w:fldChar w:fldCharType="end" w:fldLock="0"/>
      </w:r>
      <w:r>
        <w:rPr>
          <w:rStyle w:val="None"/>
          <w:rFonts w:ascii="Arial" w:hAnsi="Arial"/>
          <w:sz w:val="24"/>
          <w:szCs w:val="24"/>
          <w:rtl w:val="0"/>
          <w:lang w:val="en-US"/>
        </w:rPr>
        <w:t xml:space="preserve">   @scotpag</w:t>
      </w:r>
    </w:p>
    <w:p>
      <w:pPr>
        <w:pStyle w:val="Body A"/>
        <w:rPr>
          <w:rStyle w:val="None"/>
          <w:rFonts w:ascii="Arial" w:cs="Arial" w:hAnsi="Arial" w:eastAsia="Arial"/>
          <w:sz w:val="24"/>
          <w:szCs w:val="24"/>
        </w:rPr>
      </w:pPr>
      <w:r>
        <w:rPr>
          <w:rStyle w:val="None"/>
          <w:rFonts w:ascii="Arial" w:hAnsi="Arial"/>
          <w:sz w:val="24"/>
          <w:szCs w:val="24"/>
          <w:rtl w:val="0"/>
          <w:lang w:val="en-US"/>
        </w:rPr>
        <w:t xml:space="preserve">Mary Howden  Director of WRNScotland     </w:t>
      </w:r>
      <w:r>
        <w:rPr>
          <w:rStyle w:val="Hyperlink.0"/>
        </w:rPr>
        <w:fldChar w:fldCharType="begin" w:fldLock="0"/>
      </w:r>
      <w:r>
        <w:rPr>
          <w:rStyle w:val="Hyperlink.0"/>
        </w:rPr>
        <w:instrText xml:space="preserve"> HYPERLINK "mailto:wrnscotland@womensrights.network"</w:instrText>
      </w:r>
      <w:r>
        <w:rPr>
          <w:rStyle w:val="Hyperlink.0"/>
        </w:rPr>
        <w:fldChar w:fldCharType="separate" w:fldLock="0"/>
      </w:r>
      <w:r>
        <w:rPr>
          <w:rStyle w:val="Hyperlink.0"/>
          <w:rtl w:val="0"/>
        </w:rPr>
        <w:t>wrnscotland@womensrights.network</w:t>
      </w:r>
      <w:r>
        <w:rPr/>
        <w:fldChar w:fldCharType="end" w:fldLock="0"/>
      </w:r>
    </w:p>
    <w:p>
      <w:pPr>
        <w:pStyle w:val="Body A"/>
        <w:rPr>
          <w:rStyle w:val="None"/>
          <w:rFonts w:ascii="Arial" w:cs="Arial" w:hAnsi="Arial" w:eastAsia="Arial"/>
          <w:sz w:val="24"/>
          <w:szCs w:val="24"/>
        </w:rPr>
      </w:pPr>
    </w:p>
    <w:p>
      <w:pPr>
        <w:pStyle w:val="Body A"/>
        <w:rPr>
          <w:rStyle w:val="None"/>
          <w:rFonts w:ascii="Arial" w:cs="Arial" w:hAnsi="Arial" w:eastAsia="Arial"/>
          <w:sz w:val="24"/>
          <w:szCs w:val="24"/>
        </w:rPr>
      </w:pPr>
    </w:p>
    <w:p>
      <w:pPr>
        <w:pStyle w:val="Body A"/>
        <w:rPr>
          <w:rStyle w:val="None"/>
          <w:rFonts w:ascii="Arial" w:cs="Arial" w:hAnsi="Arial" w:eastAsia="Arial"/>
          <w:sz w:val="24"/>
          <w:szCs w:val="24"/>
        </w:rPr>
      </w:pPr>
    </w:p>
    <w:p>
      <w:pPr>
        <w:pStyle w:val="Body A"/>
      </w:pPr>
      <w:r>
        <w:rPr>
          <w:rStyle w:val="None"/>
          <w:rFonts w:ascii="Arial" w:cs="Arial" w:hAnsi="Arial" w:eastAsia="Arial"/>
          <w:sz w:val="24"/>
          <w:szCs w:val="24"/>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sz w:val="24"/>
      <w:szCs w:val="24"/>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