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anchor distT="152400" distB="152400" distL="152400" distR="152400" simplePos="0" relativeHeight="251660288" behindDoc="0" locked="0" layoutInCell="1" allowOverlap="1">
            <wp:simplePos x="0" y="0"/>
            <wp:positionH relativeFrom="page">
              <wp:posOffset>3284992</wp:posOffset>
            </wp:positionH>
            <wp:positionV relativeFrom="page">
              <wp:posOffset>182879</wp:posOffset>
            </wp:positionV>
            <wp:extent cx="1189715" cy="1189715"/>
            <wp:effectExtent l="0" t="0" r="0" b="0"/>
            <wp:wrapThrough wrapText="bothSides" distL="152400" distR="152400">
              <wp:wrapPolygon edited="1">
                <wp:start x="10080" y="0"/>
                <wp:lineTo x="12645" y="135"/>
                <wp:lineTo x="15075" y="855"/>
                <wp:lineTo x="17190" y="2070"/>
                <wp:lineTo x="18765" y="3465"/>
                <wp:lineTo x="20070" y="5220"/>
                <wp:lineTo x="21060" y="7335"/>
                <wp:lineTo x="21555" y="9585"/>
                <wp:lineTo x="21510" y="12330"/>
                <wp:lineTo x="20970" y="14490"/>
                <wp:lineTo x="19980" y="16515"/>
                <wp:lineTo x="18585" y="18315"/>
                <wp:lineTo x="17010" y="19665"/>
                <wp:lineTo x="14985" y="20790"/>
                <wp:lineTo x="12870" y="21420"/>
                <wp:lineTo x="11520" y="21600"/>
                <wp:lineTo x="8955" y="21465"/>
                <wp:lineTo x="6750" y="20835"/>
                <wp:lineTo x="4680" y="19710"/>
                <wp:lineTo x="2835" y="18135"/>
                <wp:lineTo x="1530" y="16380"/>
                <wp:lineTo x="630" y="14490"/>
                <wp:lineTo x="90" y="12330"/>
                <wp:lineTo x="90" y="9270"/>
                <wp:lineTo x="630" y="7110"/>
                <wp:lineTo x="1575" y="5175"/>
                <wp:lineTo x="3015" y="3285"/>
                <wp:lineTo x="4725" y="1845"/>
                <wp:lineTo x="6750" y="765"/>
                <wp:lineTo x="8730" y="180"/>
                <wp:lineTo x="10080" y="0"/>
              </wp:wrapPolygon>
            </wp:wrapThrough>
            <wp:docPr id="1073741825" name="officeArt object" descr="Photo_1699372122659.png"/>
            <wp:cNvGraphicFramePr/>
            <a:graphic xmlns:a="http://schemas.openxmlformats.org/drawingml/2006/main">
              <a:graphicData uri="http://schemas.openxmlformats.org/drawingml/2006/picture">
                <pic:pic xmlns:pic="http://schemas.openxmlformats.org/drawingml/2006/picture">
                  <pic:nvPicPr>
                    <pic:cNvPr id="1073741825" name="Photo_1699372122659.png" descr="Photo_1699372122659.png"/>
                    <pic:cNvPicPr>
                      <a:picLocks noChangeAspect="1"/>
                    </pic:cNvPicPr>
                  </pic:nvPicPr>
                  <pic:blipFill>
                    <a:blip r:embed="rId4">
                      <a:extLst/>
                    </a:blip>
                    <a:stretch>
                      <a:fillRect/>
                    </a:stretch>
                  </pic:blipFill>
                  <pic:spPr>
                    <a:xfrm>
                      <a:off x="0" y="0"/>
                      <a:ext cx="1189715" cy="1189715"/>
                    </a:xfrm>
                    <a:prstGeom prst="rect">
                      <a:avLst/>
                    </a:prstGeom>
                    <a:ln w="12700" cap="flat">
                      <a:noFill/>
                      <a:miter lim="400000"/>
                    </a:ln>
                    <a:effectLst/>
                  </pic:spPr>
                </pic:pic>
              </a:graphicData>
            </a:graphic>
          </wp:anchor>
        </w:drawing>
      </w:r>
    </w:p>
    <w:p>
      <w:pPr>
        <w:pStyle w:val="Body A"/>
      </w:pPr>
    </w:p>
    <w:p>
      <w:pPr>
        <w:pStyle w:val="Body A"/>
      </w:pPr>
    </w:p>
    <w:p>
      <w:pPr>
        <w:pStyle w:val="Body A"/>
      </w:pPr>
      <w:r>
        <w:rPr>
          <w:rtl w:val="0"/>
          <w:lang w:val="en-US"/>
        </w:rPr>
        <w:t>Gera</w:t>
      </w:r>
      <w:r>
        <w:rPr>
          <w:rtl w:val="0"/>
          <w:lang w:val="en-US"/>
        </w:rPr>
        <w:t>r</w:t>
      </w:r>
      <w:r>
        <w:rPr>
          <w:rtl w:val="0"/>
          <w:lang w:val="en-US"/>
        </w:rPr>
        <w:t>d Hart</w:t>
      </w:r>
    </w:p>
    <w:p>
      <w:pPr>
        <w:pStyle w:val="Body A"/>
      </w:pPr>
      <w:r>
        <w:rPr>
          <w:rtl w:val="0"/>
          <w:lang w:val="en-US"/>
        </w:rPr>
        <w:t>CEO and Chair</w:t>
      </w:r>
    </w:p>
    <w:p>
      <w:pPr>
        <w:pStyle w:val="Body A"/>
      </w:pPr>
      <w:r>
        <w:rPr>
          <w:rtl w:val="0"/>
          <w:lang w:val="en-US"/>
        </w:rPr>
        <w:t xml:space="preserve">Disclosure Scotland </w:t>
      </w:r>
    </w:p>
    <w:p>
      <w:pPr>
        <w:pStyle w:val="Body A"/>
      </w:pPr>
    </w:p>
    <w:p>
      <w:pPr>
        <w:pStyle w:val="Body A"/>
      </w:pPr>
      <w:r>
        <w:rPr>
          <w:rtl w:val="0"/>
          <w:lang w:val="de-DE"/>
        </w:rPr>
        <w:t xml:space="preserve">Dear Gerard Hart </w:t>
      </w:r>
    </w:p>
    <w:p>
      <w:pPr>
        <w:pStyle w:val="Body A"/>
      </w:pPr>
    </w:p>
    <w:p>
      <w:pPr>
        <w:pStyle w:val="Body A"/>
      </w:pPr>
      <w:r>
        <w:rPr>
          <w:rtl w:val="0"/>
          <w:lang w:val="en-US"/>
        </w:rPr>
        <w:t>We are writing about our concerns regarding your policy of guaranteeing confidentiality about sex and previous names for anyone claiming to be transgender.  You also offer an assurance that anyone claiming to be non binary can chose to declare any name or sex that they chose. Given the role and function of Disclosure Scotland,</w:t>
      </w:r>
    </w:p>
    <w:p>
      <w:pPr>
        <w:pStyle w:val="Body A"/>
      </w:pPr>
    </w:p>
    <w:p>
      <w:pPr>
        <w:pStyle w:val="Body A"/>
      </w:pPr>
      <w:r>
        <w:rPr>
          <w:rStyle w:val="Hyperlink.0"/>
        </w:rPr>
        <w:fldChar w:fldCharType="begin" w:fldLock="0"/>
      </w:r>
      <w:r>
        <w:rPr>
          <w:rStyle w:val="Hyperlink.0"/>
        </w:rPr>
        <w:instrText xml:space="preserve"> HYPERLINK "https://www.google.com/search?q=role+and+function+of+disclosure+scotland&amp;oq=role+and+function+of+disclosure+scotland"</w:instrText>
      </w:r>
      <w:r>
        <w:rPr>
          <w:rStyle w:val="Hyperlink.0"/>
        </w:rPr>
        <w:fldChar w:fldCharType="separate" w:fldLock="0"/>
      </w:r>
      <w:r>
        <w:rPr>
          <w:rStyle w:val="Hyperlink.0"/>
          <w:rtl w:val="0"/>
          <w:lang w:val="en-US"/>
        </w:rPr>
        <w:t>https://www.google.com/search?q=role+and+function+of+disclosure+scotland&amp;oq=role+and+function+of+disclosure+scotland</w:t>
      </w:r>
      <w:r>
        <w:rPr/>
        <w:fldChar w:fldCharType="end" w:fldLock="0"/>
      </w:r>
    </w:p>
    <w:p>
      <w:pPr>
        <w:pStyle w:val="Body A"/>
      </w:pPr>
    </w:p>
    <w:p>
      <w:pPr>
        <w:pStyle w:val="Body A"/>
      </w:pPr>
      <w:r>
        <w:rPr>
          <w:rStyle w:val="None"/>
          <w:rtl w:val="0"/>
          <w:lang w:val="en-US"/>
        </w:rPr>
        <w:t xml:space="preserve">We regard this as a safeguarding risk. The Supreme Court ruled in April that  the meaning of sex in the Equality Act (2010) is biological sex.  You will know that </w:t>
      </w:r>
      <w:r>
        <w:rPr>
          <w:rStyle w:val="None"/>
          <w:rFonts w:ascii="Arial Unicode MS" w:hAnsi="Arial Unicode MS" w:hint="default"/>
          <w:rtl w:val="1"/>
          <w:lang w:val="ar-SA" w:bidi="ar-SA"/>
        </w:rPr>
        <w:t>“</w:t>
      </w:r>
      <w:r>
        <w:rPr>
          <w:rStyle w:val="None"/>
          <w:rtl w:val="0"/>
          <w:lang w:val="de-DE"/>
        </w:rPr>
        <w:t>gender</w:t>
      </w:r>
      <w:r>
        <w:rPr>
          <w:rStyle w:val="None"/>
          <w:rtl w:val="0"/>
        </w:rPr>
        <w:t>” “</w:t>
      </w:r>
      <w:r>
        <w:rPr>
          <w:rStyle w:val="None"/>
          <w:rtl w:val="0"/>
          <w:lang w:val="en-US"/>
        </w:rPr>
        <w:t>non-binary</w:t>
      </w:r>
      <w:r>
        <w:rPr>
          <w:rStyle w:val="None"/>
          <w:rtl w:val="0"/>
        </w:rPr>
        <w:t>” “</w:t>
      </w:r>
      <w:r>
        <w:rPr>
          <w:rStyle w:val="None"/>
          <w:rtl w:val="0"/>
          <w:lang w:val="de-DE"/>
        </w:rPr>
        <w:t>transgender</w:t>
      </w:r>
      <w:r>
        <w:rPr>
          <w:rStyle w:val="None"/>
          <w:rtl w:val="0"/>
        </w:rPr>
        <w:t xml:space="preserve">” </w:t>
      </w:r>
      <w:r>
        <w:rPr>
          <w:rStyle w:val="None"/>
          <w:rtl w:val="0"/>
          <w:lang w:val="en-US"/>
        </w:rPr>
        <w:t xml:space="preserve">are not protected characteristics in the Act. While gender reassignment is a protected characteristic in the Act, the Supreme Court made clear that possession of a GRC did not permit anyone to claim to be the opposite sex for the purposes of using or providing a single sex service. </w:t>
      </w:r>
    </w:p>
    <w:p>
      <w:pPr>
        <w:pStyle w:val="Body A"/>
      </w:pPr>
    </w:p>
    <w:p>
      <w:pPr>
        <w:pStyle w:val="Body A"/>
      </w:pPr>
      <w:r>
        <w:rPr>
          <w:rStyle w:val="None"/>
          <w:rtl w:val="0"/>
          <w:lang w:val="en-US"/>
        </w:rPr>
        <w:t>Such services would include care and health services, schools,  police, prison, public toilets, some personal services, indeed any provision which must legally be or which claims to be single sex. You will be aware of the duty to undertake a risk assessment of your declared policy.</w:t>
      </w:r>
    </w:p>
    <w:p>
      <w:pPr>
        <w:pStyle w:val="Body A"/>
      </w:pPr>
    </w:p>
    <w:p>
      <w:pPr>
        <w:pStyle w:val="Body A"/>
      </w:pPr>
      <w:r>
        <w:rPr>
          <w:rStyle w:val="None"/>
          <w:rtl w:val="0"/>
          <w:lang w:val="en-US"/>
        </w:rPr>
        <w:t xml:space="preserve">As well as a risk assessments, as we have already indicated, the terms </w:t>
      </w:r>
      <w:r>
        <w:rPr>
          <w:rStyle w:val="None"/>
          <w:rtl w:val="0"/>
          <w:lang w:val="en-US"/>
        </w:rPr>
        <w:t>‘</w:t>
      </w:r>
      <w:r>
        <w:rPr>
          <w:rStyle w:val="None"/>
          <w:rtl w:val="0"/>
          <w:lang w:val="en-US"/>
        </w:rPr>
        <w:t>transgender</w:t>
      </w:r>
      <w:r>
        <w:rPr>
          <w:rStyle w:val="None"/>
          <w:rtl w:val="0"/>
          <w:lang w:val="en-US"/>
        </w:rPr>
        <w:t xml:space="preserve">’ </w:t>
      </w:r>
      <w:r>
        <w:rPr>
          <w:rStyle w:val="None"/>
          <w:rtl w:val="0"/>
          <w:lang w:val="en-US"/>
        </w:rPr>
        <w:t xml:space="preserve">and </w:t>
      </w:r>
      <w:r>
        <w:rPr>
          <w:rStyle w:val="None"/>
          <w:rtl w:val="0"/>
          <w:lang w:val="en-US"/>
        </w:rPr>
        <w:t>‘</w:t>
      </w:r>
      <w:r>
        <w:rPr>
          <w:rStyle w:val="None"/>
          <w:rtl w:val="0"/>
          <w:lang w:val="en-US"/>
        </w:rPr>
        <w:t>non-binary</w:t>
      </w:r>
      <w:r>
        <w:rPr>
          <w:rStyle w:val="None"/>
          <w:rtl w:val="0"/>
          <w:lang w:val="en-US"/>
        </w:rPr>
        <w:t xml:space="preserve">’ </w:t>
      </w:r>
      <w:r>
        <w:rPr>
          <w:rStyle w:val="None"/>
          <w:rtl w:val="0"/>
          <w:lang w:val="en-US"/>
        </w:rPr>
        <w:t>are neither protected characteristics in terms of law and they should not be confused with the needs of those individuals with protected characteristics who require specific safeguarding arrangements such as single sex spaces and services.</w:t>
      </w:r>
    </w:p>
    <w:p>
      <w:pPr>
        <w:pStyle w:val="Body A"/>
      </w:pPr>
    </w:p>
    <w:p>
      <w:pPr>
        <w:pStyle w:val="Body A"/>
      </w:pPr>
      <w:r>
        <w:rPr>
          <w:rStyle w:val="None"/>
          <w:rtl w:val="0"/>
          <w:lang w:val="en-US"/>
        </w:rPr>
        <w:t>As it stands on your website, (updated 1 Apr 2025) you state that,</w:t>
      </w:r>
    </w:p>
    <w:p>
      <w:pPr>
        <w:pStyle w:val="Body A"/>
      </w:pPr>
    </w:p>
    <w:p>
      <w:pPr>
        <w:pStyle w:val="Body A"/>
      </w:pPr>
      <w:r>
        <w:rPr>
          <w:rStyle w:val="None"/>
          <w:rtl w:val="0"/>
          <w:lang w:val="en-US"/>
        </w:rPr>
        <w:t>“</w:t>
      </w:r>
      <w:r>
        <w:rPr>
          <w:rStyle w:val="None"/>
          <w:rtl w:val="0"/>
          <w:lang w:val="en-US"/>
        </w:rPr>
        <w:t xml:space="preserve">If you're transgender you can apply for a disclosure using your present gender and without telling your employer what your previous name was. You only have to tell Disclosure Scotland. </w:t>
      </w:r>
    </w:p>
    <w:p>
      <w:pPr>
        <w:pStyle w:val="Body A"/>
      </w:pPr>
    </w:p>
    <w:p>
      <w:pPr>
        <w:pStyle w:val="Body A"/>
      </w:pPr>
      <w:r>
        <w:rPr>
          <w:rStyle w:val="None"/>
          <w:rtl w:val="0"/>
          <w:lang w:val="en-US"/>
        </w:rPr>
        <w:t>You only need to use this process if your employer is countersigning your application. If you</w:t>
      </w:r>
      <w:r>
        <w:rPr>
          <w:rStyle w:val="None"/>
          <w:rFonts w:ascii="Arial Unicode MS" w:hAnsi="Arial Unicode MS" w:hint="default"/>
          <w:rtl w:val="1"/>
        </w:rPr>
        <w:t>’</w:t>
      </w:r>
      <w:r>
        <w:rPr>
          <w:rStyle w:val="None"/>
          <w:rtl w:val="0"/>
          <w:lang w:val="en-US"/>
        </w:rPr>
        <w:t xml:space="preserve">re applying for a Level 1 disclosure without a countersignatory, you can include your previous names when asked because these are not included on your Level 1 disclosure. </w:t>
      </w:r>
    </w:p>
    <w:p>
      <w:pPr>
        <w:pStyle w:val="Body A"/>
      </w:pPr>
    </w:p>
    <w:p>
      <w:pPr>
        <w:pStyle w:val="Body A"/>
      </w:pPr>
      <w:r>
        <w:rPr>
          <w:rStyle w:val="None"/>
          <w:rtl w:val="0"/>
          <w:lang w:val="en-US"/>
        </w:rPr>
        <w:t>You can use this process if you</w:t>
      </w:r>
      <w:r>
        <w:rPr>
          <w:rStyle w:val="None"/>
          <w:rFonts w:ascii="Arial Unicode MS" w:hAnsi="Arial Unicode MS" w:hint="default"/>
          <w:rtl w:val="1"/>
        </w:rPr>
        <w:t>’</w:t>
      </w:r>
      <w:r>
        <w:rPr>
          <w:rStyle w:val="None"/>
          <w:rtl w:val="0"/>
          <w:lang w:val="en-US"/>
        </w:rPr>
        <w:t>re non-binary, but you</w:t>
      </w:r>
      <w:r>
        <w:rPr>
          <w:rStyle w:val="None"/>
          <w:rFonts w:ascii="Arial Unicode MS" w:hAnsi="Arial Unicode MS" w:hint="default"/>
          <w:rtl w:val="1"/>
        </w:rPr>
        <w:t>’</w:t>
      </w:r>
      <w:r>
        <w:rPr>
          <w:rStyle w:val="None"/>
          <w:rtl w:val="0"/>
          <w:lang w:val="en-US"/>
        </w:rPr>
        <w:t xml:space="preserve">ll need to enter male or female when asked for gender. This does not need to be your legal sex. This information is not used for matching people to criminal records. </w:t>
      </w:r>
    </w:p>
    <w:p>
      <w:pPr>
        <w:pStyle w:val="Body A"/>
      </w:pPr>
    </w:p>
    <w:p>
      <w:pPr>
        <w:pStyle w:val="Body A"/>
      </w:pPr>
      <w:r>
        <w:rPr>
          <w:rStyle w:val="None"/>
          <w:rtl w:val="0"/>
          <w:lang w:val="en-US"/>
        </w:rPr>
        <w:t>Warning</w:t>
      </w:r>
    </w:p>
    <w:p>
      <w:pPr>
        <w:pStyle w:val="Body A"/>
      </w:pPr>
      <w:r>
        <w:rPr>
          <w:rStyle w:val="None"/>
          <w:rtl w:val="0"/>
          <w:lang w:val="en-US"/>
        </w:rPr>
        <w:t>Disclosure Scotland will not share any information about your gender history with your employer or regulatory body. The information is not used for equalities monitoring or other purposes.</w:t>
      </w:r>
      <w:r>
        <w:rPr>
          <w:rStyle w:val="None"/>
          <w:rtl w:val="0"/>
          <w:lang w:val="en-US"/>
        </w:rPr>
        <w:t>”</w:t>
      </w:r>
    </w:p>
    <w:p>
      <w:pPr>
        <w:pStyle w:val="Body A"/>
      </w:pPr>
    </w:p>
    <w:p>
      <w:pPr>
        <w:pStyle w:val="Body A"/>
      </w:pPr>
    </w:p>
    <w:p>
      <w:pPr>
        <w:pStyle w:val="Body A"/>
      </w:pPr>
      <w:r>
        <w:rPr>
          <w:rStyle w:val="Hyperlink.0"/>
        </w:rPr>
        <w:fldChar w:fldCharType="begin" w:fldLock="0"/>
      </w:r>
      <w:r>
        <w:rPr>
          <w:rStyle w:val="Hyperlink.0"/>
        </w:rPr>
        <w:instrText xml:space="preserve"> HYPERLINK "https://www.mygov.scot/transgender-disclosure-application"</w:instrText>
      </w:r>
      <w:r>
        <w:rPr>
          <w:rStyle w:val="Hyperlink.0"/>
        </w:rPr>
        <w:fldChar w:fldCharType="separate" w:fldLock="0"/>
      </w:r>
      <w:r>
        <w:rPr>
          <w:rStyle w:val="Hyperlink.0"/>
          <w:rtl w:val="0"/>
          <w:lang w:val="en-US"/>
        </w:rPr>
        <w:t>https://www.mygov.scot/transgender-disclosure-application</w:t>
      </w:r>
      <w:r>
        <w:rPr/>
        <w:fldChar w:fldCharType="end" w:fldLock="0"/>
      </w:r>
    </w:p>
    <w:p>
      <w:pPr>
        <w:pStyle w:val="Body A"/>
      </w:pPr>
    </w:p>
    <w:p>
      <w:pPr>
        <w:pStyle w:val="Body A"/>
      </w:pPr>
    </w:p>
    <w:p>
      <w:pPr>
        <w:pStyle w:val="Body A"/>
      </w:pPr>
    </w:p>
    <w:p>
      <w:pPr>
        <w:pStyle w:val="Body A"/>
      </w:pPr>
    </w:p>
    <w:p>
      <w:pPr>
        <w:pStyle w:val="Body A"/>
      </w:pPr>
    </w:p>
    <w:p>
      <w:pPr>
        <w:pStyle w:val="Body A"/>
      </w:pPr>
    </w:p>
    <w:p>
      <w:pPr>
        <w:pStyle w:val="Body A"/>
      </w:pPr>
      <w:r>
        <w:rPr>
          <w:rStyle w:val="None"/>
          <w:rtl w:val="0"/>
          <w:lang w:val="en-US"/>
        </w:rPr>
        <w:t xml:space="preserve">As it stands, this statement implies that Disclosure Scotland guarantees any man confidentiality about their former name and actual sex for disclosure including to SSSC. We understand that you have not informed the Scottish </w:t>
      </w:r>
      <w:r>
        <w:rPr>
          <w:rStyle w:val="None"/>
          <w:rtl w:val="0"/>
        </w:rPr>
        <w:t>S</w:t>
      </w:r>
      <w:r>
        <w:rPr>
          <w:rStyle w:val="None"/>
          <w:rtl w:val="0"/>
          <w:lang w:val="en-US"/>
        </w:rPr>
        <w:t xml:space="preserve">ocial </w:t>
      </w:r>
      <w:r>
        <w:rPr>
          <w:rStyle w:val="None"/>
          <w:rtl w:val="0"/>
        </w:rPr>
        <w:t>S</w:t>
      </w:r>
      <w:r>
        <w:rPr>
          <w:rStyle w:val="None"/>
          <w:rtl w:val="0"/>
          <w:lang w:val="en-US"/>
        </w:rPr>
        <w:t>ervices Council regarding this arrangement. This not only presents a major safeguarding concern, particularly women and children and the range of public services already mentioned in this letter but it contravenes the Supreme Court ruling.</w:t>
      </w:r>
    </w:p>
    <w:p>
      <w:pPr>
        <w:pStyle w:val="Body A"/>
      </w:pPr>
    </w:p>
    <w:p>
      <w:pPr>
        <w:pStyle w:val="Body A"/>
        <w:rPr>
          <w:rStyle w:val="None"/>
          <w:u w:val="single"/>
        </w:rPr>
      </w:pPr>
      <w:r>
        <w:rPr>
          <w:rStyle w:val="Hyperlink.0"/>
          <w:rtl w:val="0"/>
          <w:lang w:val="en-US"/>
        </w:rPr>
        <w:t>Next steps</w:t>
      </w:r>
    </w:p>
    <w:p>
      <w:pPr>
        <w:pStyle w:val="Body A"/>
      </w:pPr>
      <w:r>
        <w:rPr>
          <w:rStyle w:val="None"/>
          <w:rtl w:val="0"/>
          <w:lang w:val="en-US"/>
        </w:rPr>
        <w:t>We would ask you to provide us with any risk assessment carried out both before and after the Supreme Court ruling. We also request that you amend your statement to be compliant with the law and the Supreme Court ruling.</w:t>
      </w:r>
    </w:p>
    <w:p>
      <w:pPr>
        <w:pStyle w:val="Body A"/>
      </w:pPr>
    </w:p>
    <w:p>
      <w:pPr>
        <w:pStyle w:val="Body A"/>
      </w:pPr>
      <w:r>
        <w:rPr>
          <w:rStyle w:val="None"/>
          <w:rtl w:val="0"/>
          <w:lang w:val="en-US"/>
        </w:rPr>
        <w:t>I look forward to hearing from you.</w:t>
      </w:r>
    </w:p>
    <w:p>
      <w:pPr>
        <w:pStyle w:val="Body A"/>
      </w:pPr>
    </w:p>
    <w:p>
      <w:pPr>
        <w:pStyle w:val="Body A"/>
      </w:pPr>
      <w:r>
        <w:rPr>
          <w:rStyle w:val="None"/>
          <w:rtl w:val="0"/>
          <w:lang w:val="en-US"/>
        </w:rPr>
        <w:t>Best wishes</w:t>
      </w:r>
    </w:p>
    <w:p>
      <w:pPr>
        <w:pStyle w:val="Body A"/>
      </w:pPr>
    </w:p>
    <w:p>
      <w:pPr>
        <w:pStyle w:val="Body A"/>
      </w:pPr>
      <w:r>
        <w:rPr>
          <w:rStyle w:val="None"/>
          <w:rtl w:val="0"/>
          <w:lang w:val="en-US"/>
        </w:rPr>
        <w:t>Carolyn Brown (Retired Dep. Principal Psychologist)</w:t>
      </w:r>
    </w:p>
    <w:p>
      <w:pPr>
        <w:pStyle w:val="Body A"/>
      </w:pPr>
      <w:r>
        <w:rPr>
          <w:rStyle w:val="None"/>
          <w:rtl w:val="0"/>
          <w:lang w:val="en-US"/>
        </w:rPr>
        <w:t xml:space="preserve">ScotPAG Convenor  @scotpag   </w:t>
      </w:r>
      <w:r>
        <w:rPr>
          <w:rStyle w:val="Hyperlink.0"/>
        </w:rPr>
        <w:fldChar w:fldCharType="begin" w:fldLock="0"/>
      </w:r>
      <w:r>
        <w:rPr>
          <w:rStyle w:val="Hyperlink.0"/>
        </w:rPr>
        <w:instrText xml:space="preserve"> HYPERLINK "http://scotpag.com"</w:instrText>
      </w:r>
      <w:r>
        <w:rPr>
          <w:rStyle w:val="Hyperlink.0"/>
        </w:rPr>
        <w:fldChar w:fldCharType="separate" w:fldLock="0"/>
      </w:r>
      <w:r>
        <w:rPr>
          <w:rStyle w:val="Hyperlink.0"/>
          <w:rtl w:val="0"/>
          <w:lang w:val="en-US"/>
        </w:rPr>
        <w:t>scotpag.com</w:t>
      </w:r>
      <w:r>
        <w:rPr/>
        <w:fldChar w:fldCharType="end" w:fldLock="0"/>
      </w:r>
    </w:p>
    <w:p>
      <w:pPr>
        <w:pStyle w:val="Body A"/>
      </w:pPr>
    </w:p>
    <w:p>
      <w:pPr>
        <w:pStyle w:val="Default"/>
        <w:spacing w:before="0" w:line="240" w:lineRule="auto"/>
        <w:rPr>
          <w:rStyle w:val="None"/>
          <w:rFonts w:ascii="Arial" w:cs="Arial" w:hAnsi="Arial" w:eastAsia="Arial"/>
          <w:b w:val="1"/>
          <w:bCs w:val="1"/>
          <w:sz w:val="22"/>
          <w:szCs w:val="22"/>
          <w:u w:color="000000"/>
          <w14:textOutline w14:w="12700" w14:cap="flat">
            <w14:noFill/>
            <w14:miter w14:lim="400000"/>
          </w14:textOutline>
        </w:rPr>
      </w:pPr>
      <w:r>
        <w:rPr>
          <w:rStyle w:val="None"/>
          <w:rFonts w:ascii="Arial" w:hAnsi="Arial"/>
          <w:b w:val="1"/>
          <w:bCs w:val="1"/>
          <w:sz w:val="22"/>
          <w:szCs w:val="22"/>
          <w:u w:color="000000"/>
          <w:rtl w:val="0"/>
          <w:lang w:val="en-US"/>
          <w14:textOutline w14:w="12700" w14:cap="flat">
            <w14:noFill/>
            <w14:miter w14:lim="400000"/>
          </w14:textOutline>
        </w:rPr>
        <w:t>Additional signatories</w:t>
      </w:r>
    </w:p>
    <w:p>
      <w:pPr>
        <w:pStyle w:val="Default"/>
        <w:spacing w:before="0" w:line="240" w:lineRule="auto"/>
        <w:rPr>
          <w:rStyle w:val="None"/>
          <w:rFonts w:ascii="Arial" w:cs="Arial" w:hAnsi="Arial" w:eastAsia="Arial"/>
          <w:b w:val="1"/>
          <w:bCs w:val="1"/>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 xml:space="preserve">June Campbell, Retired Psychoanalytic Psychotherapist </w:t>
      </w:r>
    </w:p>
    <w:p>
      <w:pPr>
        <w:pStyle w:val="Default"/>
        <w:spacing w:before="0" w:line="240" w:lineRule="auto"/>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Prof Brigid Daniel, Retired Professor of Social Work</w:t>
      </w:r>
    </w:p>
    <w:p>
      <w:pPr>
        <w:pStyle w:val="Default"/>
        <w:spacing w:before="0" w:line="240" w:lineRule="auto"/>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Pauline Fox, Retired Clinical Nurse Team Manager &amp; Lead Nurse Specialist,</w:t>
      </w:r>
    </w:p>
    <w:p>
      <w:pPr>
        <w:pStyle w:val="Default"/>
        <w:spacing w:before="0" w:line="240" w:lineRule="auto"/>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Victoria Hart, Midwife</w:t>
      </w:r>
    </w:p>
    <w:p>
      <w:pPr>
        <w:pStyle w:val="Default"/>
        <w:spacing w:before="0" w:line="240" w:lineRule="auto"/>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Maggie Mellon, Social Worker, MSc, CQSW, Dip Child Protection</w:t>
      </w:r>
    </w:p>
    <w:p>
      <w:pPr>
        <w:pStyle w:val="Default"/>
        <w:spacing w:before="0" w:line="240" w:lineRule="auto"/>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 xml:space="preserve">Elaine Miller, Fellow of Chartered Society of Physiotherapy </w:t>
      </w:r>
    </w:p>
    <w:p>
      <w:pPr>
        <w:pStyle w:val="Default"/>
        <w:spacing w:before="0" w:line="240" w:lineRule="auto"/>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Carole McKenzie, Former HMi &amp; Director of Education,</w:t>
      </w:r>
      <w:r>
        <w:rPr>
          <w:rStyle w:val="None"/>
          <w:sz w:val="22"/>
          <w:szCs w:val="22"/>
          <w:u w:color="000000"/>
          <w:rtl w:val="0"/>
          <w:lang w:val="en-US"/>
          <w14:textOutline w14:w="12700" w14:cap="flat">
            <w14:noFill/>
            <w14:miter w14:lim="400000"/>
          </w14:textOutline>
        </w:rPr>
        <w:t xml:space="preserve"> </w:t>
      </w:r>
      <w:r>
        <w:rPr>
          <w:rStyle w:val="None"/>
          <w:rFonts w:ascii="Arial" w:hAnsi="Arial"/>
          <w:sz w:val="22"/>
          <w:szCs w:val="22"/>
          <w:u w:color="000000"/>
          <w:rtl w:val="0"/>
          <w:lang w:val="en-US"/>
          <w14:textOutline w14:w="12700" w14:cap="flat">
            <w14:noFill/>
            <w14:miter w14:lim="400000"/>
          </w14:textOutline>
        </w:rPr>
        <w:t>B.Ed Hons</w:t>
      </w:r>
    </w:p>
    <w:p>
      <w:pPr>
        <w:pStyle w:val="Default"/>
        <w:spacing w:before="0" w:line="240" w:lineRule="auto"/>
        <w:rPr>
          <w:rStyle w:val="None"/>
          <w:rFonts w:ascii="Arial" w:cs="Arial" w:hAnsi="Arial" w:eastAsia="Arial"/>
          <w:sz w:val="22"/>
          <w:szCs w:val="22"/>
          <w:u w:color="000000"/>
          <w14:textOutline w14:w="12700" w14:cap="flat">
            <w14:noFill/>
            <w14:miter w14:lim="400000"/>
          </w14:textOutline>
        </w:rPr>
      </w:pPr>
    </w:p>
    <w:p>
      <w:pPr>
        <w:pStyle w:val="Default"/>
        <w:spacing w:before="0" w:line="240" w:lineRule="auto"/>
        <w:rPr>
          <w:rStyle w:val="None"/>
          <w:sz w:val="22"/>
          <w:szCs w:val="22"/>
          <w:u w:color="000000"/>
          <w14:textOutline w14:w="12700" w14:cap="flat">
            <w14:noFill/>
            <w14:miter w14:lim="400000"/>
          </w14:textOutline>
        </w:rPr>
      </w:pPr>
    </w:p>
    <w:p>
      <w:pPr>
        <w:pStyle w:val="Body A"/>
      </w:pPr>
    </w:p>
    <w:p>
      <w:pPr>
        <w:pStyle w:val="Body A"/>
      </w:pPr>
    </w:p>
    <w:p>
      <w:pPr>
        <w:pStyle w:val="Body A"/>
      </w:pPr>
      <w:r>
        <w:rPr>
          <w:rStyle w:val="None"/>
        </w:rPr>
        <w:drawing xmlns:a="http://schemas.openxmlformats.org/drawingml/2006/main">
          <wp:anchor distT="152400" distB="152400" distL="152400" distR="152400" simplePos="0" relativeHeight="251659264" behindDoc="0" locked="0" layoutInCell="1" allowOverlap="1">
            <wp:simplePos x="0" y="0"/>
            <wp:positionH relativeFrom="page">
              <wp:posOffset>3362780</wp:posOffset>
            </wp:positionH>
            <wp:positionV relativeFrom="page">
              <wp:posOffset>322965</wp:posOffset>
            </wp:positionV>
            <wp:extent cx="1182869" cy="1182869"/>
            <wp:effectExtent l="0" t="0" r="0" b="0"/>
            <wp:wrapThrough wrapText="bothSides" distL="152400" distR="152400">
              <wp:wrapPolygon edited="1">
                <wp:start x="10080" y="0"/>
                <wp:lineTo x="12645" y="135"/>
                <wp:lineTo x="15075" y="855"/>
                <wp:lineTo x="17190" y="2070"/>
                <wp:lineTo x="18765" y="3465"/>
                <wp:lineTo x="20070" y="5220"/>
                <wp:lineTo x="21060" y="7335"/>
                <wp:lineTo x="21555" y="9585"/>
                <wp:lineTo x="21510" y="12330"/>
                <wp:lineTo x="20970" y="14490"/>
                <wp:lineTo x="19980" y="16515"/>
                <wp:lineTo x="18585" y="18315"/>
                <wp:lineTo x="17010" y="19665"/>
                <wp:lineTo x="14985" y="20790"/>
                <wp:lineTo x="12870" y="21420"/>
                <wp:lineTo x="11520" y="21600"/>
                <wp:lineTo x="8955" y="21465"/>
                <wp:lineTo x="6750" y="20835"/>
                <wp:lineTo x="4680" y="19710"/>
                <wp:lineTo x="2835" y="18135"/>
                <wp:lineTo x="1530" y="16380"/>
                <wp:lineTo x="630" y="14490"/>
                <wp:lineTo x="90" y="12330"/>
                <wp:lineTo x="90" y="9270"/>
                <wp:lineTo x="630" y="7110"/>
                <wp:lineTo x="1575" y="5175"/>
                <wp:lineTo x="3015" y="3285"/>
                <wp:lineTo x="4725" y="1845"/>
                <wp:lineTo x="6750" y="765"/>
                <wp:lineTo x="8730" y="180"/>
                <wp:lineTo x="10080" y="0"/>
              </wp:wrapPolygon>
            </wp:wrapThrough>
            <wp:docPr id="1073741826" name="officeArt object" descr="Photo_1699372122659.png"/>
            <wp:cNvGraphicFramePr/>
            <a:graphic xmlns:a="http://schemas.openxmlformats.org/drawingml/2006/main">
              <a:graphicData uri="http://schemas.openxmlformats.org/drawingml/2006/picture">
                <pic:pic xmlns:pic="http://schemas.openxmlformats.org/drawingml/2006/picture">
                  <pic:nvPicPr>
                    <pic:cNvPr id="1073741826" name="Photo_1699372122659.png" descr="Photo_1699372122659.png"/>
                    <pic:cNvPicPr>
                      <a:picLocks noChangeAspect="1"/>
                    </pic:cNvPicPr>
                  </pic:nvPicPr>
                  <pic:blipFill>
                    <a:blip r:embed="rId4">
                      <a:extLst/>
                    </a:blip>
                    <a:stretch>
                      <a:fillRect/>
                    </a:stretch>
                  </pic:blipFill>
                  <pic:spPr>
                    <a:xfrm>
                      <a:off x="0" y="0"/>
                      <a:ext cx="1182869" cy="118286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lang w:val="en-US"/>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