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Care Inspectorate</w:t>
      </w:r>
      <w:r>
        <w:drawing xmlns:a="http://schemas.openxmlformats.org/drawingml/2006/main">
          <wp:anchor distT="152400" distB="152400" distL="152400" distR="152400" simplePos="0" relativeHeight="251659264" behindDoc="0" locked="0" layoutInCell="1" allowOverlap="1">
            <wp:simplePos x="0" y="0"/>
            <wp:positionH relativeFrom="margin">
              <wp:posOffset>5273840</wp:posOffset>
            </wp:positionH>
            <wp:positionV relativeFrom="page">
              <wp:posOffset>501981</wp:posOffset>
            </wp:positionV>
            <wp:extent cx="1326819" cy="1326819"/>
            <wp:effectExtent l="0" t="0" r="0" b="0"/>
            <wp:wrapThrough wrapText="bothSides" distL="152400" distR="152400">
              <wp:wrapPolygon edited="1">
                <wp:start x="10080" y="0"/>
                <wp:lineTo x="12645" y="135"/>
                <wp:lineTo x="15075" y="855"/>
                <wp:lineTo x="17190" y="2070"/>
                <wp:lineTo x="18765" y="3465"/>
                <wp:lineTo x="20070" y="5220"/>
                <wp:lineTo x="21060" y="7335"/>
                <wp:lineTo x="21555" y="9585"/>
                <wp:lineTo x="21510" y="12330"/>
                <wp:lineTo x="20970" y="14490"/>
                <wp:lineTo x="19980" y="16515"/>
                <wp:lineTo x="18585" y="18315"/>
                <wp:lineTo x="17010" y="19665"/>
                <wp:lineTo x="14985" y="20790"/>
                <wp:lineTo x="12870" y="21420"/>
                <wp:lineTo x="11520" y="21600"/>
                <wp:lineTo x="8955" y="21465"/>
                <wp:lineTo x="6750" y="20835"/>
                <wp:lineTo x="4680" y="19710"/>
                <wp:lineTo x="2835" y="18135"/>
                <wp:lineTo x="1530" y="16380"/>
                <wp:lineTo x="630" y="14490"/>
                <wp:lineTo x="90" y="12330"/>
                <wp:lineTo x="90" y="9270"/>
                <wp:lineTo x="630" y="7110"/>
                <wp:lineTo x="1575" y="5175"/>
                <wp:lineTo x="3015" y="3285"/>
                <wp:lineTo x="4725" y="1845"/>
                <wp:lineTo x="6750" y="765"/>
                <wp:lineTo x="8730" y="180"/>
                <wp:lineTo x="10080" y="0"/>
              </wp:wrapPolygon>
            </wp:wrapThrough>
            <wp:docPr id="1073741825" name="officeArt object" descr="Photo_1699372122659.png"/>
            <wp:cNvGraphicFramePr/>
            <a:graphic xmlns:a="http://schemas.openxmlformats.org/drawingml/2006/main">
              <a:graphicData uri="http://schemas.openxmlformats.org/drawingml/2006/picture">
                <pic:pic xmlns:pic="http://schemas.openxmlformats.org/drawingml/2006/picture">
                  <pic:nvPicPr>
                    <pic:cNvPr id="1073741825" name="Photo_1699372122659.png" descr="Photo_1699372122659.png"/>
                    <pic:cNvPicPr>
                      <a:picLocks noChangeAspect="1"/>
                    </pic:cNvPicPr>
                  </pic:nvPicPr>
                  <pic:blipFill>
                    <a:blip r:embed="rId4">
                      <a:extLst/>
                    </a:blip>
                    <a:stretch>
                      <a:fillRect/>
                    </a:stretch>
                  </pic:blipFill>
                  <pic:spPr>
                    <a:xfrm>
                      <a:off x="0" y="0"/>
                      <a:ext cx="1326819" cy="1326819"/>
                    </a:xfrm>
                    <a:prstGeom prst="rect">
                      <a:avLst/>
                    </a:prstGeom>
                    <a:ln w="12700" cap="flat">
                      <a:noFill/>
                      <a:miter lim="400000"/>
                    </a:ln>
                    <a:effectLst/>
                  </pic:spPr>
                </pic:pic>
              </a:graphicData>
            </a:graphic>
          </wp:anchor>
        </w:drawing>
      </w:r>
    </w:p>
    <w:p>
      <w:pPr>
        <w:pStyle w:val="Body"/>
        <w:bidi w:val="0"/>
      </w:pPr>
    </w:p>
    <w:p>
      <w:pPr>
        <w:pStyle w:val="Body"/>
        <w:bidi w:val="0"/>
      </w:pPr>
      <w:r>
        <w:rPr>
          <w:rtl w:val="0"/>
          <w:lang w:val="en-US"/>
        </w:rPr>
        <w:t>Compass House</w:t>
      </w:r>
    </w:p>
    <w:p>
      <w:pPr>
        <w:pStyle w:val="Body"/>
        <w:bidi w:val="0"/>
      </w:pPr>
    </w:p>
    <w:p>
      <w:pPr>
        <w:pStyle w:val="Body"/>
        <w:bidi w:val="0"/>
      </w:pPr>
      <w:r>
        <w:rPr>
          <w:rtl w:val="0"/>
          <w:lang w:val="en-US"/>
        </w:rPr>
        <w:t>11 Riverside Drive</w:t>
      </w:r>
    </w:p>
    <w:p>
      <w:pPr>
        <w:pStyle w:val="Body"/>
        <w:bidi w:val="0"/>
      </w:pPr>
    </w:p>
    <w:p>
      <w:pPr>
        <w:pStyle w:val="Body"/>
        <w:bidi w:val="0"/>
      </w:pPr>
      <w:r>
        <w:rPr>
          <w:rtl w:val="0"/>
          <w:lang w:val="nl-NL"/>
        </w:rPr>
        <w:t>Dundee</w:t>
      </w:r>
    </w:p>
    <w:p>
      <w:pPr>
        <w:pStyle w:val="Body"/>
        <w:bidi w:val="0"/>
      </w:pPr>
    </w:p>
    <w:p>
      <w:pPr>
        <w:pStyle w:val="Body"/>
        <w:bidi w:val="0"/>
      </w:pPr>
      <w:r>
        <w:rPr>
          <w:rtl w:val="0"/>
          <w:lang w:val="en-US"/>
        </w:rPr>
        <w:t>DD1 4NY</w:t>
      </w:r>
    </w:p>
    <w:p>
      <w:pPr>
        <w:pStyle w:val="Body"/>
        <w:bidi w:val="0"/>
      </w:pPr>
    </w:p>
    <w:p>
      <w:pPr>
        <w:pStyle w:val="Body"/>
        <w:bidi w:val="0"/>
      </w:pPr>
      <w:r>
        <w:rPr>
          <w:rtl w:val="0"/>
          <w:lang w:val="en-US"/>
        </w:rPr>
        <w:t>17th May 2025</w:t>
      </w:r>
    </w:p>
    <w:p>
      <w:pPr>
        <w:pStyle w:val="Body"/>
        <w:bidi w:val="0"/>
      </w:pPr>
    </w:p>
    <w:p>
      <w:pPr>
        <w:pStyle w:val="Body"/>
        <w:rPr>
          <w:b w:val="1"/>
          <w:bCs w:val="1"/>
        </w:rPr>
      </w:pPr>
      <w:r>
        <w:rPr>
          <w:b w:val="1"/>
          <w:bCs w:val="1"/>
          <w:rtl w:val="0"/>
          <w:lang w:val="en-US"/>
        </w:rPr>
        <w:t>Formal Complaint Regarding Guidance on the Inclusion of Transgender Including Non-Binary Young People (Issued 7th May 2025)</w:t>
      </w:r>
    </w:p>
    <w:p>
      <w:pPr>
        <w:pStyle w:val="Body"/>
        <w:bidi w:val="0"/>
      </w:pPr>
    </w:p>
    <w:p>
      <w:pPr>
        <w:pStyle w:val="Body"/>
        <w:bidi w:val="0"/>
      </w:pPr>
      <w:r>
        <w:rPr>
          <w:rtl w:val="0"/>
          <w:lang w:val="en-US"/>
        </w:rPr>
        <w:t>Dear Sir/Madam,</w:t>
      </w:r>
    </w:p>
    <w:p>
      <w:pPr>
        <w:pStyle w:val="Body"/>
        <w:bidi w:val="0"/>
      </w:pPr>
    </w:p>
    <w:p>
      <w:pPr>
        <w:pStyle w:val="Body"/>
        <w:bidi w:val="0"/>
      </w:pPr>
      <w:r>
        <w:rPr>
          <w:rtl w:val="0"/>
          <w:lang w:val="en-US"/>
        </w:rPr>
        <w:t xml:space="preserve">I am writing </w:t>
      </w:r>
      <w:r>
        <w:rPr>
          <w:rtl w:val="0"/>
          <w:lang w:val="en-US"/>
        </w:rPr>
        <w:t>on behalf of ScotPAG to</w:t>
      </w:r>
      <w:r>
        <w:rPr>
          <w:rtl w:val="0"/>
          <w:lang w:val="en-US"/>
        </w:rPr>
        <w:t xml:space="preserve"> complain</w:t>
      </w:r>
      <w:r>
        <w:rPr>
          <w:rtl w:val="0"/>
          <w:lang w:val="en-US"/>
        </w:rPr>
        <w:t xml:space="preserve"> formally</w:t>
      </w:r>
      <w:r>
        <w:rPr>
          <w:rtl w:val="0"/>
          <w:lang w:val="en-US"/>
        </w:rPr>
        <w:t xml:space="preserve"> about the Care Inspectorate</w:t>
      </w:r>
      <w:r>
        <w:rPr>
          <w:rtl w:val="1"/>
        </w:rPr>
        <w:t>’</w:t>
      </w:r>
      <w:r>
        <w:rPr>
          <w:rtl w:val="0"/>
          <w:lang w:val="en-US"/>
        </w:rPr>
        <w:t xml:space="preserve">s recently issued guidance, </w:t>
      </w:r>
      <w:r>
        <w:rPr>
          <w:rtl w:val="0"/>
          <w:lang w:val="en-US"/>
        </w:rPr>
        <w:t>‘</w:t>
      </w:r>
      <w:r>
        <w:rPr>
          <w:rtl w:val="0"/>
          <w:lang w:val="en-US"/>
        </w:rPr>
        <w:t>Guidance on the Inclusion of Transgender Including Non-Binary Young People</w:t>
      </w:r>
      <w:r>
        <w:rPr>
          <w:rtl w:val="0"/>
          <w:lang w:val="en-US"/>
        </w:rPr>
        <w:t>’</w:t>
      </w:r>
      <w:r>
        <w:rPr>
          <w:rtl w:val="0"/>
          <w:lang w:val="en-US"/>
        </w:rPr>
        <w:t xml:space="preserve">, recently published on </w:t>
      </w:r>
      <w:r>
        <w:rPr>
          <w:rtl w:val="0"/>
          <w:lang w:val="en-US"/>
        </w:rPr>
        <w:t>7th May 2025</w:t>
      </w:r>
      <w:r>
        <w:rPr>
          <w:rtl w:val="0"/>
          <w:lang w:val="en-US"/>
        </w:rPr>
        <w:t xml:space="preserve"> in response to the Supreme Court</w:t>
      </w:r>
      <w:r>
        <w:rPr>
          <w:rtl w:val="0"/>
          <w:lang w:val="en-US"/>
        </w:rPr>
        <w:t>’</w:t>
      </w:r>
      <w:r>
        <w:rPr>
          <w:rtl w:val="0"/>
          <w:lang w:val="en-US"/>
        </w:rPr>
        <w:t>s recent ruling. T</w:t>
      </w:r>
      <w:r>
        <w:rPr>
          <w:rtl w:val="0"/>
          <w:lang w:val="en-US"/>
        </w:rPr>
        <w:t xml:space="preserve">his guidance is deeply flawed, misrepresents critical evidence, and demonstrates a concerning lack of understanding of child development and systemic research. </w:t>
      </w:r>
      <w:r>
        <w:rPr>
          <w:rtl w:val="0"/>
          <w:lang w:val="en-US"/>
        </w:rPr>
        <w:t>ScotPag</w:t>
      </w:r>
      <w:r>
        <w:rPr>
          <w:rtl w:val="0"/>
          <w:lang w:val="en-US"/>
        </w:rPr>
        <w:t>’</w:t>
      </w:r>
      <w:r>
        <w:rPr>
          <w:rtl w:val="0"/>
          <w:lang w:val="en-US"/>
        </w:rPr>
        <w:t xml:space="preserve">s </w:t>
      </w:r>
      <w:r>
        <w:rPr>
          <w:rtl w:val="0"/>
          <w:lang w:val="en-US"/>
        </w:rPr>
        <w:t xml:space="preserve">concerns </w:t>
      </w:r>
      <w:r>
        <w:rPr>
          <w:rtl w:val="0"/>
          <w:lang w:val="en-US"/>
        </w:rPr>
        <w:t>are outlined below.</w:t>
      </w:r>
    </w:p>
    <w:p>
      <w:pPr>
        <w:pStyle w:val="Body"/>
        <w:bidi w:val="0"/>
      </w:pPr>
    </w:p>
    <w:p>
      <w:pPr>
        <w:pStyle w:val="Body"/>
        <w:rPr>
          <w:b w:val="1"/>
          <w:bCs w:val="1"/>
        </w:rPr>
      </w:pPr>
      <w:r>
        <w:rPr>
          <w:b w:val="1"/>
          <w:bCs w:val="1"/>
          <w:rtl w:val="0"/>
          <w:lang w:val="en-US"/>
        </w:rPr>
        <w:t xml:space="preserve">1. </w:t>
      </w:r>
      <w:r>
        <w:rPr>
          <w:b w:val="1"/>
          <w:bCs w:val="1"/>
          <w:rtl w:val="0"/>
          <w:lang w:val="en-US"/>
        </w:rPr>
        <w:t>Failure to Engage with Systemic Research</w:t>
      </w:r>
    </w:p>
    <w:p>
      <w:pPr>
        <w:pStyle w:val="Body"/>
        <w:bidi w:val="0"/>
      </w:pPr>
      <w:r>
        <w:rPr>
          <w:rtl w:val="0"/>
          <w:lang w:val="en-US"/>
        </w:rPr>
        <w:t>The guidance does not appear to be grounded in robust, systemic research on gender dysphoria, child development, or the long-term outcomes of social and medical interventions for transgender and non-binary young people. High-quality evidence, including longitudinal studies and peer-reviewed research, highlights the complexity of gender identity issues in young people, particularly the influence of social, psychological, and developmental factors. By omitting reference to such evidence, the guidance risks promoting an oversimplified and potentially harmful approach to supporting vulnerable children.</w:t>
      </w:r>
    </w:p>
    <w:p>
      <w:pPr>
        <w:pStyle w:val="Body"/>
        <w:bidi w:val="0"/>
      </w:pPr>
    </w:p>
    <w:p>
      <w:pPr>
        <w:pStyle w:val="Body"/>
        <w:rPr>
          <w:b w:val="1"/>
          <w:bCs w:val="1"/>
        </w:rPr>
      </w:pPr>
      <w:r>
        <w:rPr>
          <w:b w:val="1"/>
          <w:bCs w:val="1"/>
          <w:rtl w:val="0"/>
          <w:lang w:val="en-US"/>
        </w:rPr>
        <w:t xml:space="preserve">2. </w:t>
      </w:r>
      <w:r>
        <w:rPr>
          <w:b w:val="1"/>
          <w:bCs w:val="1"/>
          <w:rtl w:val="0"/>
          <w:lang w:val="en-US"/>
        </w:rPr>
        <w:t>Misunderstanding of the Cass Review</w:t>
      </w:r>
    </w:p>
    <w:p>
      <w:pPr>
        <w:pStyle w:val="Body"/>
        <w:bidi w:val="0"/>
      </w:pPr>
      <w:r>
        <w:rPr>
          <w:rtl w:val="0"/>
          <w:lang w:val="en-US"/>
        </w:rPr>
        <w:t xml:space="preserve">The guidance misinterprets </w:t>
      </w:r>
      <w:r>
        <w:rPr>
          <w:rtl w:val="0"/>
          <w:lang w:val="en-US"/>
        </w:rPr>
        <w:t>and</w:t>
      </w:r>
      <w:r>
        <w:rPr>
          <w:rtl w:val="0"/>
          <w:lang w:val="en-US"/>
        </w:rPr>
        <w:t xml:space="preserve"> inadequately reflects the findings of the Cass Review (202</w:t>
      </w:r>
      <w:r>
        <w:rPr>
          <w:rtl w:val="0"/>
          <w:lang w:val="en-US"/>
        </w:rPr>
        <w:t>4</w:t>
      </w:r>
      <w:r>
        <w:rPr>
          <w:rtl w:val="0"/>
          <w:lang w:val="en-US"/>
        </w:rPr>
        <w:t>), which provided a comprehensive, evidence-based analysis of gender identity services for children and young people. The Cass Review emphasised the lack of high-quality evidence supporting social transition, the potential for irreversible decisions, and the need for a cautious, holistic approach to gender dysphoria in young people. It also highlighted the importance of considering co-occurring mental health issues and neurodevelopmental conditions. The Care Inspectorate</w:t>
      </w:r>
      <w:r>
        <w:rPr>
          <w:rtl w:val="1"/>
        </w:rPr>
        <w:t>’</w:t>
      </w:r>
      <w:r>
        <w:rPr>
          <w:rtl w:val="0"/>
          <w:lang w:val="en-US"/>
        </w:rPr>
        <w:t xml:space="preserve">s guidance appears to sidestep these findings, presenting an overly affirmative stance that contradicts the </w:t>
      </w:r>
      <w:r>
        <w:rPr>
          <w:rtl w:val="0"/>
          <w:lang w:val="en-US"/>
        </w:rPr>
        <w:t xml:space="preserve">Cass </w:t>
      </w:r>
      <w:r>
        <w:rPr>
          <w:rtl w:val="0"/>
          <w:lang w:val="en-US"/>
        </w:rPr>
        <w:t>Review</w:t>
      </w:r>
      <w:r>
        <w:rPr>
          <w:rtl w:val="1"/>
        </w:rPr>
        <w:t>’</w:t>
      </w:r>
      <w:r>
        <w:rPr>
          <w:rtl w:val="0"/>
          <w:lang w:val="en-US"/>
        </w:rPr>
        <w:t>s call for caution and further research. This misrepresentation risks undermining the safety and wellbeing of young people.</w:t>
      </w:r>
    </w:p>
    <w:p>
      <w:pPr>
        <w:pStyle w:val="Body"/>
        <w:bidi w:val="0"/>
      </w:pPr>
    </w:p>
    <w:p>
      <w:pPr>
        <w:pStyle w:val="Body"/>
        <w:rPr>
          <w:b w:val="1"/>
          <w:bCs w:val="1"/>
        </w:rPr>
      </w:pPr>
      <w:r>
        <w:rPr>
          <w:b w:val="1"/>
          <w:bCs w:val="1"/>
          <w:rtl w:val="0"/>
          <w:lang w:val="en-US"/>
        </w:rPr>
        <w:t xml:space="preserve">3. </w:t>
      </w:r>
      <w:r>
        <w:rPr>
          <w:b w:val="1"/>
          <w:bCs w:val="1"/>
          <w:rtl w:val="0"/>
          <w:lang w:val="en-US"/>
        </w:rPr>
        <w:t>Presentation of Misinformation</w:t>
      </w:r>
    </w:p>
    <w:p>
      <w:pPr>
        <w:pStyle w:val="Body"/>
        <w:bidi w:val="0"/>
      </w:pPr>
      <w:r>
        <w:rPr>
          <w:rtl w:val="0"/>
          <w:lang w:val="en-US"/>
        </w:rPr>
        <w:t xml:space="preserve">The guidance contains assertions that are not supported by </w:t>
      </w:r>
      <w:r>
        <w:rPr>
          <w:rtl w:val="0"/>
          <w:lang w:val="en-US"/>
        </w:rPr>
        <w:t xml:space="preserve">robust and respected </w:t>
      </w:r>
      <w:r>
        <w:rPr>
          <w:rtl w:val="0"/>
          <w:lang w:val="en-US"/>
        </w:rPr>
        <w:t xml:space="preserve">evidence and </w:t>
      </w:r>
      <w:r>
        <w:rPr>
          <w:rtl w:val="0"/>
          <w:lang w:val="en-US"/>
        </w:rPr>
        <w:t>are</w:t>
      </w:r>
      <w:r>
        <w:rPr>
          <w:rtl w:val="0"/>
          <w:lang w:val="en-US"/>
        </w:rPr>
        <w:t xml:space="preserve"> misleading. For example, it appears to treat social transition and affirmation of transgender or non-binary identities as unproblematic and universally beneficial</w:t>
      </w:r>
      <w:r>
        <w:rPr>
          <w:rtl w:val="0"/>
          <w:lang w:val="en-US"/>
        </w:rPr>
        <w:t>. This is d</w:t>
      </w:r>
      <w:r>
        <w:rPr>
          <w:rtl w:val="0"/>
          <w:lang w:val="en-US"/>
        </w:rPr>
        <w:t xml:space="preserve">espite evidence suggesting that these approaches may entrench </w:t>
      </w:r>
      <w:r>
        <w:rPr>
          <w:rtl w:val="0"/>
          <w:lang w:val="en-US"/>
        </w:rPr>
        <w:t>bodily hatred, general anxiety and a lack of resilience in</w:t>
      </w:r>
      <w:r>
        <w:rPr>
          <w:rtl w:val="0"/>
        </w:rPr>
        <w:t xml:space="preserve"> </w:t>
      </w:r>
      <w:r>
        <w:rPr>
          <w:rtl w:val="0"/>
          <w:lang w:val="en-US"/>
        </w:rPr>
        <w:t>many</w:t>
      </w:r>
      <w:r>
        <w:rPr>
          <w:rtl w:val="0"/>
          <w:lang w:val="en-US"/>
        </w:rPr>
        <w:t xml:space="preserve"> cases</w:t>
      </w:r>
      <w:r>
        <w:rPr>
          <w:rtl w:val="0"/>
          <w:lang w:val="en-US"/>
        </w:rPr>
        <w:t>,</w:t>
      </w:r>
      <w:r>
        <w:rPr>
          <w:rtl w:val="0"/>
          <w:lang w:val="en-US"/>
        </w:rPr>
        <w:t xml:space="preserve"> or complicate later decision-making. Such claims lack nuance and fail to acknowledge the uncertainty in current research, potentially leading to misguided practices in care settings.</w:t>
      </w:r>
    </w:p>
    <w:p>
      <w:pPr>
        <w:pStyle w:val="Body"/>
        <w:bidi w:val="0"/>
      </w:pPr>
    </w:p>
    <w:p>
      <w:pPr>
        <w:pStyle w:val="Body"/>
        <w:rPr>
          <w:b w:val="1"/>
          <w:bCs w:val="1"/>
        </w:rPr>
      </w:pPr>
      <w:r>
        <w:rPr>
          <w:b w:val="1"/>
          <w:bCs w:val="1"/>
          <w:rtl w:val="0"/>
          <w:lang w:val="en-US"/>
        </w:rPr>
        <w:t xml:space="preserve">4. </w:t>
      </w:r>
      <w:r>
        <w:rPr>
          <w:b w:val="1"/>
          <w:bCs w:val="1"/>
          <w:rtl w:val="0"/>
          <w:lang w:val="en-US"/>
        </w:rPr>
        <w:t>Lack of Knowledge About Child Development</w:t>
      </w:r>
    </w:p>
    <w:p>
      <w:pPr>
        <w:pStyle w:val="Body"/>
        <w:bidi w:val="0"/>
      </w:pPr>
      <w:r>
        <w:rPr>
          <w:rtl w:val="0"/>
          <w:lang w:val="en-US"/>
        </w:rPr>
        <w:t>The guidance demonstrates a concerning lack of understanding of child and adolescent development. Young people</w:t>
      </w:r>
      <w:r>
        <w:rPr>
          <w:rtl w:val="1"/>
        </w:rPr>
        <w:t>’</w:t>
      </w:r>
      <w:r>
        <w:rPr>
          <w:rtl w:val="0"/>
          <w:lang w:val="en-US"/>
        </w:rPr>
        <w:t>s identities are fluid and often influenced by social pressures, peer dynamics, and mental health challenges. The guidance</w:t>
      </w:r>
      <w:r>
        <w:rPr>
          <w:rtl w:val="1"/>
        </w:rPr>
        <w:t>’</w:t>
      </w:r>
      <w:r>
        <w:rPr>
          <w:rtl w:val="0"/>
          <w:lang w:val="en-US"/>
        </w:rPr>
        <w:t>s apparent encouragement of immediate affirmation of transgender or non-binary identities disregards the developmental stages at which children and young people form their sense of self. This risks bypassing critical opportunities for exploration and support, potentially leading to premature or inappropriate interventions that may not align with a young person</w:t>
      </w:r>
      <w:r>
        <w:rPr>
          <w:rtl w:val="1"/>
        </w:rPr>
        <w:t>’</w:t>
      </w:r>
      <w:r>
        <w:rPr>
          <w:rtl w:val="0"/>
          <w:lang w:val="en-US"/>
        </w:rPr>
        <w:t>s long-term needs.</w:t>
      </w:r>
    </w:p>
    <w:p>
      <w:pPr>
        <w:pStyle w:val="Body"/>
        <w:bidi w:val="0"/>
      </w:pPr>
    </w:p>
    <w:p>
      <w:pPr>
        <w:pStyle w:val="Body"/>
        <w:bidi w:val="0"/>
      </w:pPr>
      <w:r>
        <w:rPr>
          <w:rtl w:val="0"/>
          <w:lang w:val="en-US"/>
        </w:rPr>
        <w:t>I urge the Care Inspectorate to withdraw or substantially revise this guidance to ensure it is aligned with the best available evidence, including the Cass Review</w:t>
      </w:r>
      <w:r>
        <w:rPr>
          <w:rtl w:val="1"/>
        </w:rPr>
        <w:t>’</w:t>
      </w:r>
      <w:r>
        <w:rPr>
          <w:rtl w:val="0"/>
          <w:lang w:val="en-US"/>
        </w:rPr>
        <w:t>s recommendations and broader systemic research on gender dysphoria and child development. Additionally, I request that future guidance be developed in consultation with experts in child psychology, developmental science, and gender dysphoria to ensure a balanced and evidence-based approach.</w:t>
      </w:r>
    </w:p>
    <w:p>
      <w:pPr>
        <w:pStyle w:val="Body"/>
        <w:bidi w:val="0"/>
      </w:pPr>
    </w:p>
    <w:p>
      <w:pPr>
        <w:pStyle w:val="Body"/>
        <w:bidi w:val="0"/>
      </w:pPr>
      <w:r>
        <w:rPr>
          <w:rtl w:val="0"/>
          <w:lang w:val="en-US"/>
        </w:rPr>
        <w:t>I would appreciate a formal response to this complaint, outlining the steps the Care Inspectorate will take to address these concerns. Please confirm receipt of this letter and provide an estimated timeline for your response.</w:t>
      </w:r>
    </w:p>
    <w:p>
      <w:pPr>
        <w:pStyle w:val="Body"/>
        <w:bidi w:val="0"/>
      </w:pPr>
    </w:p>
    <w:p>
      <w:pPr>
        <w:pStyle w:val="Body"/>
        <w:bidi w:val="0"/>
      </w:pPr>
      <w:r>
        <w:rPr>
          <w:rtl w:val="0"/>
          <w:lang w:val="en-US"/>
        </w:rPr>
        <w:t>Yours sincerely,</w:t>
      </w:r>
    </w:p>
    <w:p>
      <w:pPr>
        <w:pStyle w:val="Body"/>
        <w:bidi w:val="0"/>
      </w:pPr>
    </w:p>
    <w:p>
      <w:pPr>
        <w:pStyle w:val="Body"/>
        <w:bidi w:val="0"/>
      </w:pPr>
      <w:r>
        <w:rPr>
          <w:rtl w:val="0"/>
          <w:lang w:val="en-US"/>
        </w:rPr>
        <w:t xml:space="preserve">Carolyn Brown Convenor of ScotPAG    </w:t>
      </w:r>
      <w:r>
        <w:rPr>
          <w:rStyle w:val="Hyperlink.0"/>
        </w:rPr>
        <w:fldChar w:fldCharType="begin" w:fldLock="0"/>
      </w:r>
      <w:r>
        <w:rPr>
          <w:rStyle w:val="Hyperlink.0"/>
        </w:rPr>
        <w:instrText xml:space="preserve"> HYPERLINK "mailto:cbrown303@btinternet.com"</w:instrText>
      </w:r>
      <w:r>
        <w:rPr>
          <w:rStyle w:val="Hyperlink.0"/>
        </w:rPr>
        <w:fldChar w:fldCharType="separate" w:fldLock="0"/>
      </w:r>
      <w:r>
        <w:rPr>
          <w:rStyle w:val="Hyperlink.0"/>
          <w:rtl w:val="0"/>
          <w:lang w:val="en-US"/>
        </w:rPr>
        <w:t>cbrown303@btinternet.com</w:t>
      </w:r>
      <w:r>
        <w:rPr/>
        <w:fldChar w:fldCharType="end" w:fldLock="0"/>
      </w:r>
      <w:r>
        <w:rPr>
          <w:rtl w:val="0"/>
          <w:lang w:val="en-US"/>
        </w:rPr>
        <w:t xml:space="preserve"> </w:t>
      </w:r>
    </w:p>
    <w:p>
      <w:pPr>
        <w:pStyle w:val="Body"/>
        <w:bidi w:val="0"/>
      </w:pPr>
      <w:r>
        <w:rPr>
          <w:rtl w:val="0"/>
          <w:lang w:val="en-US"/>
        </w:rPr>
        <w:t xml:space="preserve"> </w:t>
      </w:r>
      <w:r>
        <w:rPr>
          <w:rStyle w:val="Hyperlink.0"/>
        </w:rPr>
        <w:fldChar w:fldCharType="begin" w:fldLock="0"/>
      </w:r>
      <w:r>
        <w:rPr>
          <w:rStyle w:val="Hyperlink.0"/>
        </w:rPr>
        <w:instrText xml:space="preserve"> HYPERLINK "http://scotpag.com"</w:instrText>
      </w:r>
      <w:r>
        <w:rPr>
          <w:rStyle w:val="Hyperlink.0"/>
        </w:rPr>
        <w:fldChar w:fldCharType="separate" w:fldLock="0"/>
      </w:r>
      <w:r>
        <w:rPr>
          <w:rStyle w:val="Hyperlink.0"/>
          <w:rtl w:val="0"/>
          <w:lang w:val="en-US"/>
        </w:rPr>
        <w:t>scotpag.com</w:t>
      </w:r>
      <w:r>
        <w:rPr/>
        <w:fldChar w:fldCharType="end" w:fldLock="0"/>
      </w:r>
      <w:r>
        <w:rPr>
          <w:rtl w:val="0"/>
          <w:lang w:val="en-US"/>
        </w:rPr>
        <w:t xml:space="preserve">    @scotpag</w:t>
      </w:r>
    </w:p>
    <w:p>
      <w:pPr>
        <w:pStyle w:val="Body"/>
        <w:bidi w:val="0"/>
      </w:pPr>
    </w:p>
    <w:p>
      <w:pPr>
        <w:pStyle w:val="Body"/>
        <w:bidi w:val="0"/>
      </w:pPr>
      <w:r>
        <w:rPr>
          <w:rtl w:val="0"/>
        </w:rPr>
        <w:t>CC</w:t>
      </w:r>
      <w:r>
        <w:rPr>
          <w:rtl w:val="0"/>
          <w:lang w:val="en-US"/>
        </w:rPr>
        <w:t xml:space="preserve"> </w:t>
      </w:r>
    </w:p>
    <w:p>
      <w:pPr>
        <w:pStyle w:val="Body"/>
        <w:bidi w:val="0"/>
      </w:pPr>
      <w:r>
        <w:rPr>
          <w:rtl w:val="0"/>
          <w:lang w:val="en-US"/>
        </w:rPr>
        <w:t xml:space="preserve">Tess White MSP   </w:t>
      </w:r>
    </w:p>
    <w:p>
      <w:pPr>
        <w:pStyle w:val="Body"/>
        <w:bidi w:val="0"/>
      </w:pPr>
      <w:r>
        <w:rPr>
          <w:rtl w:val="0"/>
          <w:lang w:val="en-US"/>
        </w:rPr>
        <w:t>Jackie Baillie MSP</w:t>
      </w:r>
    </w:p>
    <w:p>
      <w:pPr>
        <w:pStyle w:val="Body"/>
        <w:bidi w:val="0"/>
      </w:pPr>
      <w:r>
        <w:rPr>
          <w:rtl w:val="0"/>
          <w:lang w:val="en-US"/>
        </w:rPr>
        <w:t>Fergus Ewing MSP</w:t>
      </w:r>
    </w:p>
    <w:p>
      <w:pPr>
        <w:pStyle w:val="Body"/>
        <w:bidi w:val="0"/>
      </w:pPr>
      <w:r>
        <w:rPr>
          <w:rtl w:val="0"/>
          <w:lang w:val="en-US"/>
        </w:rPr>
        <w:t>Pauline McNeil MSP</w:t>
      </w:r>
    </w:p>
    <w:p>
      <w:pPr>
        <w:pStyle w:val="Body"/>
        <w:bidi w:val="0"/>
      </w:pPr>
      <w:r>
        <w:rPr>
          <w:rtl w:val="0"/>
          <w:lang w:val="en-US"/>
        </w:rPr>
        <w:t>Marion Scott @SundayPost</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